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424" w:leftChars="-202" w:right="-483" w:rightChars="-230"/>
        <w:jc w:val="center"/>
        <w:rPr>
          <w:sz w:val="24"/>
          <w:szCs w:val="24"/>
        </w:rPr>
      </w:pPr>
      <w:r>
        <w:rPr>
          <w:rFonts w:hint="eastAsia"/>
        </w:rPr>
        <w:t>《绘画材料研究》课程教学大纲</w:t>
      </w:r>
    </w:p>
    <w:p>
      <w:pPr>
        <w:pStyle w:val="12"/>
        <w:spacing w:line="360" w:lineRule="auto"/>
        <w:ind w:firstLine="0" w:firstLineChars="0"/>
        <w:rPr>
          <w:b/>
          <w:sz w:val="28"/>
          <w:szCs w:val="28"/>
        </w:rPr>
      </w:pPr>
      <w:r>
        <w:rPr>
          <w:rFonts w:hint="eastAsia"/>
          <w:b/>
          <w:sz w:val="28"/>
          <w:szCs w:val="28"/>
        </w:rPr>
        <w:t>一、教师或教学团队信息</w:t>
      </w:r>
    </w:p>
    <w:tbl>
      <w:tblPr>
        <w:tblStyle w:val="10"/>
        <w:tblW w:w="92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1527"/>
        <w:gridCol w:w="1527"/>
        <w:gridCol w:w="1684"/>
        <w:gridCol w:w="3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b/>
                <w:sz w:val="24"/>
                <w:szCs w:val="24"/>
              </w:rPr>
            </w:pPr>
            <w:r>
              <w:rPr>
                <w:rFonts w:hint="eastAsia"/>
                <w:b/>
                <w:sz w:val="24"/>
                <w:szCs w:val="24"/>
              </w:rPr>
              <w:t>教师姓名</w:t>
            </w:r>
          </w:p>
        </w:tc>
        <w:tc>
          <w:tcPr>
            <w:tcW w:w="1527" w:type="dxa"/>
          </w:tcPr>
          <w:p>
            <w:pPr>
              <w:spacing w:line="360" w:lineRule="auto"/>
              <w:rPr>
                <w:b/>
                <w:sz w:val="24"/>
                <w:szCs w:val="24"/>
              </w:rPr>
            </w:pPr>
            <w:r>
              <w:rPr>
                <w:rFonts w:hint="eastAsia"/>
                <w:b/>
                <w:sz w:val="24"/>
                <w:szCs w:val="24"/>
              </w:rPr>
              <w:t>职称</w:t>
            </w:r>
          </w:p>
        </w:tc>
        <w:tc>
          <w:tcPr>
            <w:tcW w:w="1527" w:type="dxa"/>
          </w:tcPr>
          <w:p>
            <w:pPr>
              <w:spacing w:line="360" w:lineRule="auto"/>
              <w:rPr>
                <w:b/>
                <w:sz w:val="24"/>
                <w:szCs w:val="24"/>
              </w:rPr>
            </w:pPr>
            <w:r>
              <w:rPr>
                <w:rFonts w:hint="eastAsia"/>
                <w:b/>
                <w:sz w:val="24"/>
                <w:szCs w:val="24"/>
              </w:rPr>
              <w:t>办公室</w:t>
            </w:r>
          </w:p>
        </w:tc>
        <w:tc>
          <w:tcPr>
            <w:tcW w:w="1684" w:type="dxa"/>
          </w:tcPr>
          <w:p>
            <w:pPr>
              <w:spacing w:line="360" w:lineRule="auto"/>
              <w:rPr>
                <w:b/>
                <w:sz w:val="24"/>
                <w:szCs w:val="24"/>
              </w:rPr>
            </w:pPr>
            <w:r>
              <w:rPr>
                <w:rFonts w:hint="eastAsia"/>
                <w:b/>
                <w:sz w:val="24"/>
                <w:szCs w:val="24"/>
              </w:rPr>
              <w:t>电话</w:t>
            </w:r>
          </w:p>
        </w:tc>
        <w:tc>
          <w:tcPr>
            <w:tcW w:w="3013" w:type="dxa"/>
          </w:tcPr>
          <w:p>
            <w:pPr>
              <w:spacing w:line="360" w:lineRule="auto"/>
              <w:rPr>
                <w:b/>
                <w:sz w:val="24"/>
                <w:szCs w:val="24"/>
              </w:rPr>
            </w:pPr>
            <w:r>
              <w:rPr>
                <w:rFonts w:hint="eastAsia"/>
                <w:b/>
                <w:sz w:val="24"/>
                <w:szCs w:val="24"/>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sz w:val="24"/>
                <w:szCs w:val="24"/>
              </w:rPr>
            </w:pPr>
            <w:r>
              <w:rPr>
                <w:rFonts w:hint="eastAsia"/>
                <w:sz w:val="24"/>
                <w:szCs w:val="24"/>
              </w:rPr>
              <w:t>张晨初</w:t>
            </w:r>
          </w:p>
        </w:tc>
        <w:tc>
          <w:tcPr>
            <w:tcW w:w="1527" w:type="dxa"/>
          </w:tcPr>
          <w:p>
            <w:pPr>
              <w:spacing w:line="360" w:lineRule="auto"/>
              <w:rPr>
                <w:sz w:val="24"/>
                <w:szCs w:val="24"/>
              </w:rPr>
            </w:pPr>
            <w:r>
              <w:rPr>
                <w:rFonts w:hint="eastAsia"/>
                <w:sz w:val="24"/>
                <w:szCs w:val="24"/>
              </w:rPr>
              <w:t>教授</w:t>
            </w:r>
          </w:p>
        </w:tc>
        <w:tc>
          <w:tcPr>
            <w:tcW w:w="1527" w:type="dxa"/>
          </w:tcPr>
          <w:p>
            <w:pPr>
              <w:spacing w:line="360" w:lineRule="auto"/>
              <w:rPr>
                <w:sz w:val="24"/>
                <w:szCs w:val="24"/>
              </w:rPr>
            </w:pPr>
            <w:r>
              <w:rPr>
                <w:rFonts w:hint="eastAsia"/>
                <w:sz w:val="24"/>
                <w:szCs w:val="24"/>
              </w:rPr>
              <w:t>绘画</w:t>
            </w:r>
          </w:p>
        </w:tc>
        <w:tc>
          <w:tcPr>
            <w:tcW w:w="1684" w:type="dxa"/>
          </w:tcPr>
          <w:p>
            <w:pPr>
              <w:spacing w:line="360" w:lineRule="auto"/>
              <w:rPr>
                <w:sz w:val="24"/>
                <w:szCs w:val="24"/>
              </w:rPr>
            </w:pPr>
            <w:r>
              <w:rPr>
                <w:rFonts w:hint="eastAsia"/>
                <w:sz w:val="24"/>
                <w:szCs w:val="24"/>
              </w:rPr>
              <w:t>13916211048</w:t>
            </w:r>
          </w:p>
        </w:tc>
        <w:tc>
          <w:tcPr>
            <w:tcW w:w="3013" w:type="dxa"/>
          </w:tcPr>
          <w:p>
            <w:pPr>
              <w:spacing w:line="360" w:lineRule="auto"/>
              <w:jc w:val="center"/>
              <w:rPr>
                <w:sz w:val="24"/>
                <w:szCs w:val="24"/>
              </w:rPr>
            </w:pPr>
            <w:r>
              <w:rPr>
                <w:rFonts w:hint="eastAsia"/>
                <w:sz w:val="24"/>
                <w:szCs w:val="24"/>
              </w:rPr>
              <w:t>zchenchu@shnu.edu.cn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sz w:val="24"/>
                <w:szCs w:val="24"/>
              </w:rPr>
            </w:pPr>
          </w:p>
        </w:tc>
        <w:tc>
          <w:tcPr>
            <w:tcW w:w="1527" w:type="dxa"/>
          </w:tcPr>
          <w:p>
            <w:pPr>
              <w:spacing w:line="360" w:lineRule="auto"/>
              <w:rPr>
                <w:sz w:val="24"/>
                <w:szCs w:val="24"/>
              </w:rPr>
            </w:pPr>
          </w:p>
        </w:tc>
        <w:tc>
          <w:tcPr>
            <w:tcW w:w="1527" w:type="dxa"/>
          </w:tcPr>
          <w:p>
            <w:pPr>
              <w:spacing w:line="360" w:lineRule="auto"/>
              <w:rPr>
                <w:sz w:val="24"/>
                <w:szCs w:val="24"/>
              </w:rPr>
            </w:pPr>
          </w:p>
        </w:tc>
        <w:tc>
          <w:tcPr>
            <w:tcW w:w="1684" w:type="dxa"/>
          </w:tcPr>
          <w:p>
            <w:pPr>
              <w:spacing w:line="360" w:lineRule="auto"/>
              <w:rPr>
                <w:sz w:val="24"/>
                <w:szCs w:val="24"/>
              </w:rPr>
            </w:pPr>
          </w:p>
        </w:tc>
        <w:tc>
          <w:tcPr>
            <w:tcW w:w="3013" w:type="dxa"/>
          </w:tcPr>
          <w:p>
            <w:pPr>
              <w:spacing w:line="360" w:lineRule="auto"/>
              <w:rPr>
                <w:sz w:val="24"/>
                <w:szCs w:val="24"/>
              </w:rPr>
            </w:pPr>
          </w:p>
        </w:tc>
      </w:tr>
    </w:tbl>
    <w:p>
      <w:pPr>
        <w:pStyle w:val="12"/>
        <w:spacing w:line="360" w:lineRule="auto"/>
        <w:ind w:left="360" w:firstLine="480"/>
        <w:rPr>
          <w:sz w:val="24"/>
          <w:szCs w:val="24"/>
        </w:rPr>
      </w:pPr>
    </w:p>
    <w:p>
      <w:pPr>
        <w:pStyle w:val="12"/>
        <w:spacing w:line="360" w:lineRule="auto"/>
        <w:ind w:firstLine="0" w:firstLineChars="0"/>
        <w:rPr>
          <w:b/>
          <w:sz w:val="28"/>
          <w:szCs w:val="28"/>
        </w:rPr>
      </w:pPr>
      <w:r>
        <w:rPr>
          <w:rFonts w:hint="eastAsia"/>
          <w:b/>
          <w:sz w:val="28"/>
          <w:szCs w:val="28"/>
        </w:rPr>
        <w:t>二、课程基本信息</w:t>
      </w:r>
    </w:p>
    <w:p>
      <w:pPr>
        <w:spacing w:line="360" w:lineRule="auto"/>
        <w:rPr>
          <w:sz w:val="24"/>
          <w:szCs w:val="24"/>
        </w:rPr>
      </w:pPr>
      <w:r>
        <w:rPr>
          <w:rFonts w:hint="eastAsia"/>
          <w:sz w:val="24"/>
          <w:szCs w:val="24"/>
        </w:rPr>
        <w:t>课程名称（中文）：绘画材料研究</w:t>
      </w:r>
    </w:p>
    <w:p>
      <w:pPr>
        <w:spacing w:line="360" w:lineRule="auto"/>
        <w:rPr>
          <w:rFonts w:ascii="Times New Roman" w:hAnsi="Times New Roman"/>
          <w:sz w:val="24"/>
          <w:szCs w:val="24"/>
        </w:rPr>
      </w:pPr>
      <w:r>
        <w:rPr>
          <w:rFonts w:hint="eastAsia"/>
          <w:sz w:val="24"/>
          <w:szCs w:val="24"/>
        </w:rPr>
        <w:t>课程名称（英文）：Painting Materials Research</w:t>
      </w:r>
    </w:p>
    <w:p>
      <w:pPr>
        <w:spacing w:line="360" w:lineRule="auto"/>
        <w:ind w:left="1200" w:hanging="1200" w:hangingChars="500"/>
        <w:rPr>
          <w:sz w:val="24"/>
          <w:szCs w:val="24"/>
        </w:rPr>
      </w:pPr>
      <w:r>
        <w:rPr>
          <w:rFonts w:hint="eastAsia"/>
          <w:sz w:val="24"/>
          <w:szCs w:val="24"/>
        </w:rPr>
        <w:t>课程类别：□通识必修课</w:t>
      </w:r>
      <w:r>
        <w:rPr>
          <w:sz w:val="24"/>
          <w:szCs w:val="24"/>
        </w:rPr>
        <w:t xml:space="preserve"> </w:t>
      </w:r>
      <w:r>
        <w:rPr>
          <w:rFonts w:hint="eastAsia"/>
          <w:sz w:val="24"/>
          <w:szCs w:val="24"/>
        </w:rPr>
        <w:t xml:space="preserve">□通识选修课 □专业必修课□专业方向课 </w:t>
      </w:r>
      <w:r>
        <w:rPr>
          <w:rFonts w:hint="eastAsia" w:ascii="宋体" w:hAnsi="宋体"/>
          <w:sz w:val="24"/>
          <w:szCs w:val="24"/>
        </w:rPr>
        <w:t>■</w:t>
      </w:r>
      <w:r>
        <w:rPr>
          <w:rFonts w:hint="eastAsia"/>
          <w:sz w:val="24"/>
          <w:szCs w:val="24"/>
        </w:rPr>
        <w:t>专业拓展课□实践性环节</w:t>
      </w:r>
    </w:p>
    <w:p>
      <w:pPr>
        <w:spacing w:line="360" w:lineRule="auto"/>
        <w:rPr>
          <w:sz w:val="24"/>
          <w:szCs w:val="24"/>
        </w:rPr>
      </w:pPr>
      <w:r>
        <w:rPr>
          <w:rFonts w:hint="eastAsia"/>
          <w:sz w:val="24"/>
          <w:szCs w:val="24"/>
        </w:rPr>
        <w:t>课程性质：□学术知识性</w:t>
      </w:r>
      <w:r>
        <w:rPr>
          <w:sz w:val="24"/>
          <w:szCs w:val="24"/>
        </w:rPr>
        <w:t xml:space="preserve"> </w:t>
      </w:r>
      <w:r>
        <w:rPr>
          <w:rFonts w:hint="eastAsia"/>
          <w:sz w:val="24"/>
          <w:szCs w:val="24"/>
        </w:rPr>
        <w:t>□方法技能性</w:t>
      </w:r>
      <w:r>
        <w:rPr>
          <w:sz w:val="24"/>
          <w:szCs w:val="24"/>
        </w:rPr>
        <w:t xml:space="preserve"> </w:t>
      </w:r>
      <w:r>
        <w:rPr>
          <w:rFonts w:hint="eastAsia" w:ascii="宋体" w:hAnsi="宋体"/>
          <w:sz w:val="24"/>
          <w:szCs w:val="24"/>
        </w:rPr>
        <w:t>■</w:t>
      </w:r>
      <w:r>
        <w:rPr>
          <w:rFonts w:hint="eastAsia"/>
          <w:sz w:val="24"/>
          <w:szCs w:val="24"/>
        </w:rPr>
        <w:t>研究探索性□实践体验性</w:t>
      </w:r>
    </w:p>
    <w:p>
      <w:pPr>
        <w:spacing w:line="360" w:lineRule="auto"/>
        <w:rPr>
          <w:rFonts w:ascii="宋体" w:hAnsi="宋体"/>
          <w:sz w:val="24"/>
          <w:szCs w:val="24"/>
        </w:rPr>
      </w:pPr>
      <w:r>
        <w:rPr>
          <w:rFonts w:hint="eastAsia"/>
          <w:sz w:val="24"/>
          <w:szCs w:val="24"/>
        </w:rPr>
        <w:t>课程代码</w:t>
      </w:r>
      <w:r>
        <w:rPr>
          <w:rFonts w:hint="eastAsia" w:ascii="宋体" w:hAnsi="宋体"/>
          <w:sz w:val="24"/>
          <w:szCs w:val="24"/>
        </w:rPr>
        <w:t>：</w:t>
      </w:r>
      <w:r>
        <w:rPr>
          <w:rFonts w:hint="eastAsia"/>
          <w:sz w:val="24"/>
          <w:szCs w:val="24"/>
        </w:rPr>
        <w:t>1060240</w:t>
      </w:r>
    </w:p>
    <w:p>
      <w:pPr>
        <w:spacing w:line="360" w:lineRule="auto"/>
        <w:rPr>
          <w:rFonts w:ascii="宋体" w:hAnsi="宋体"/>
          <w:sz w:val="24"/>
          <w:szCs w:val="24"/>
        </w:rPr>
      </w:pPr>
      <w:r>
        <w:rPr>
          <w:rFonts w:hint="eastAsia" w:ascii="宋体" w:hAnsi="宋体"/>
          <w:sz w:val="24"/>
          <w:szCs w:val="24"/>
        </w:rPr>
        <w:t>周学时：16</w:t>
      </w:r>
      <w:r>
        <w:rPr>
          <w:rFonts w:ascii="宋体" w:hAnsi="宋体"/>
          <w:sz w:val="24"/>
          <w:szCs w:val="24"/>
        </w:rPr>
        <w:t xml:space="preserve">          </w:t>
      </w:r>
      <w:r>
        <w:rPr>
          <w:rFonts w:hint="eastAsia" w:ascii="宋体" w:hAnsi="宋体"/>
          <w:sz w:val="24"/>
          <w:szCs w:val="24"/>
        </w:rPr>
        <w:t>总学时：</w:t>
      </w:r>
      <w:r>
        <w:rPr>
          <w:rFonts w:hint="eastAsia" w:ascii="宋体" w:hAnsi="宋体"/>
          <w:sz w:val="24"/>
          <w:szCs w:val="24"/>
          <w:lang w:val="en-US" w:eastAsia="zh-CN"/>
        </w:rPr>
        <w:t>32</w:t>
      </w:r>
      <w:r>
        <w:rPr>
          <w:rFonts w:ascii="宋体" w:hAnsi="宋体"/>
          <w:sz w:val="24"/>
          <w:szCs w:val="24"/>
        </w:rPr>
        <w:t xml:space="preserve">             </w:t>
      </w:r>
      <w:r>
        <w:rPr>
          <w:rFonts w:hint="eastAsia" w:ascii="宋体" w:hAnsi="宋体"/>
          <w:sz w:val="24"/>
          <w:szCs w:val="24"/>
        </w:rPr>
        <w:t>学分：2</w:t>
      </w:r>
    </w:p>
    <w:p>
      <w:pPr>
        <w:spacing w:line="360" w:lineRule="auto"/>
        <w:rPr>
          <w:rFonts w:ascii="宋体" w:hAnsi="宋体"/>
          <w:sz w:val="24"/>
          <w:szCs w:val="24"/>
        </w:rPr>
      </w:pPr>
      <w:r>
        <w:rPr>
          <w:rFonts w:hint="eastAsia" w:ascii="宋体" w:hAnsi="宋体"/>
          <w:sz w:val="24"/>
          <w:szCs w:val="24"/>
        </w:rPr>
        <w:t>先修课程：</w:t>
      </w:r>
    </w:p>
    <w:p>
      <w:pPr>
        <w:spacing w:line="360" w:lineRule="auto"/>
        <w:rPr>
          <w:rFonts w:ascii="宋体" w:hAnsi="宋体"/>
          <w:sz w:val="24"/>
          <w:szCs w:val="24"/>
        </w:rPr>
      </w:pPr>
      <w:r>
        <w:rPr>
          <w:rFonts w:hint="eastAsia" w:ascii="宋体" w:hAnsi="宋体"/>
          <w:sz w:val="24"/>
          <w:szCs w:val="24"/>
        </w:rPr>
        <w:t>开设专业：</w:t>
      </w:r>
      <w:r>
        <w:rPr>
          <w:rFonts w:hint="eastAsia"/>
          <w:sz w:val="24"/>
          <w:szCs w:val="24"/>
        </w:rPr>
        <w:t>绘画（油画）</w:t>
      </w:r>
    </w:p>
    <w:p>
      <w:pPr>
        <w:spacing w:line="360" w:lineRule="auto"/>
        <w:rPr>
          <w:b/>
          <w:sz w:val="24"/>
          <w:szCs w:val="24"/>
        </w:rPr>
      </w:pPr>
    </w:p>
    <w:p>
      <w:pPr>
        <w:pStyle w:val="12"/>
        <w:spacing w:line="360" w:lineRule="auto"/>
        <w:ind w:firstLine="0" w:firstLineChars="0"/>
        <w:rPr>
          <w:b/>
          <w:sz w:val="28"/>
          <w:szCs w:val="28"/>
        </w:rPr>
      </w:pPr>
      <w:r>
        <w:rPr>
          <w:rFonts w:hint="eastAsia"/>
          <w:b/>
          <w:sz w:val="28"/>
          <w:szCs w:val="28"/>
        </w:rPr>
        <w:t>三、课程简介</w:t>
      </w:r>
    </w:p>
    <w:p>
      <w:pPr>
        <w:pStyle w:val="12"/>
        <w:spacing w:line="360" w:lineRule="auto"/>
        <w:ind w:firstLine="0" w:firstLineChars="0"/>
        <w:rPr>
          <w:rFonts w:hint="eastAsia"/>
          <w:b/>
          <w:sz w:val="28"/>
          <w:szCs w:val="28"/>
        </w:rPr>
      </w:pPr>
      <w:r>
        <w:rPr>
          <w:rFonts w:hint="eastAsia"/>
          <w:b w:val="0"/>
          <w:bCs/>
          <w:sz w:val="24"/>
          <w:szCs w:val="24"/>
        </w:rPr>
        <w:t>绘画材料研究以绘画材料为实践研究对象，认识绘画材料的形式（形态、色彩、质感）与观念（绘画材料的文化内涵）等要素，并在绘画中能自如地运用绘画材料进行绘画的技能学习。材料是绘画作品得以形成和存在的物质基础，承载了画家所有的意图和审美，对绘画材料的研究是掌握绘画技法的前提。基于以前初步了解和掌握绘画材料知识和实践的基础上，通过对绘画材料的进一步绘画试验，掌握并进一步探索适合自己艺术理念的材料表达方式和表现技巧，通过结合创作，主动地有选择地运用到自己的艺术创造中。</w:t>
      </w:r>
    </w:p>
    <w:p>
      <w:pPr>
        <w:pStyle w:val="12"/>
        <w:spacing w:line="360" w:lineRule="auto"/>
        <w:ind w:firstLine="0" w:firstLineChars="0"/>
        <w:rPr>
          <w:b/>
          <w:sz w:val="28"/>
          <w:szCs w:val="28"/>
        </w:rPr>
      </w:pPr>
      <w:r>
        <w:rPr>
          <w:rFonts w:hint="eastAsia"/>
          <w:b/>
          <w:sz w:val="28"/>
          <w:szCs w:val="28"/>
        </w:rPr>
        <w:t>四、课程目标</w:t>
      </w:r>
    </w:p>
    <w:p>
      <w:pPr>
        <w:spacing w:line="360" w:lineRule="auto"/>
        <w:ind w:left="-424" w:leftChars="-202" w:right="-483" w:rightChars="-230" w:firstLine="480"/>
        <w:rPr>
          <w:sz w:val="24"/>
          <w:szCs w:val="24"/>
        </w:rPr>
      </w:pPr>
      <w:r>
        <w:rPr>
          <w:rFonts w:hint="eastAsia"/>
          <w:sz w:val="24"/>
          <w:szCs w:val="24"/>
        </w:rPr>
        <w:t>本课程的学习目标是：在以前初步了解和掌握绘画材料知识和实践的基础上，通过对绘画材料的进一步绘画试验，掌握并进一步探索适合自己艺术理念的材料表达方式和表现技巧，通过结合创作，主动地有选择地运用到自己的艺术创造中。</w:t>
      </w:r>
    </w:p>
    <w:p>
      <w:pPr>
        <w:spacing w:line="360" w:lineRule="auto"/>
        <w:ind w:left="-424" w:leftChars="-202" w:right="-483" w:rightChars="-230" w:firstLine="480"/>
        <w:rPr>
          <w:sz w:val="24"/>
          <w:szCs w:val="24"/>
        </w:rPr>
      </w:pPr>
      <w:r>
        <w:rPr>
          <w:rFonts w:hint="eastAsia"/>
          <w:sz w:val="24"/>
          <w:szCs w:val="24"/>
        </w:rPr>
        <w:t>具体目标包括：</w:t>
      </w:r>
      <w:r>
        <w:rPr>
          <w:sz w:val="24"/>
          <w:szCs w:val="24"/>
        </w:rPr>
        <w:t xml:space="preserve"> </w:t>
      </w:r>
    </w:p>
    <w:p>
      <w:pPr>
        <w:pStyle w:val="16"/>
        <w:numPr>
          <w:ilvl w:val="0"/>
          <w:numId w:val="1"/>
        </w:numPr>
        <w:spacing w:line="360" w:lineRule="auto"/>
        <w:ind w:right="-483" w:rightChars="-230" w:firstLineChars="0"/>
        <w:rPr>
          <w:sz w:val="24"/>
          <w:szCs w:val="24"/>
        </w:rPr>
      </w:pPr>
      <w:r>
        <w:rPr>
          <w:rFonts w:hint="eastAsia"/>
          <w:sz w:val="24"/>
          <w:szCs w:val="24"/>
        </w:rPr>
        <w:t>通过绘画训练，融合各类绘画材料的表现技巧，进一步掌握和探索符合自己绘画追求和艺术个性的材料语言。</w:t>
      </w:r>
    </w:p>
    <w:p>
      <w:pPr>
        <w:pStyle w:val="16"/>
        <w:numPr>
          <w:ilvl w:val="0"/>
          <w:numId w:val="1"/>
        </w:numPr>
        <w:spacing w:line="360" w:lineRule="auto"/>
        <w:ind w:right="-483" w:rightChars="-230" w:firstLineChars="0"/>
        <w:rPr>
          <w:sz w:val="24"/>
          <w:szCs w:val="24"/>
        </w:rPr>
      </w:pPr>
      <w:r>
        <w:rPr>
          <w:rFonts w:hint="eastAsia"/>
          <w:sz w:val="24"/>
          <w:szCs w:val="24"/>
        </w:rPr>
        <w:t>将材料转化成所需要的画面语言、实现意图和审美表现，创作一幅富有材料特性的以一个人为内容的油画创作一幅。</w:t>
      </w:r>
    </w:p>
    <w:p>
      <w:pPr>
        <w:pStyle w:val="12"/>
        <w:spacing w:line="400" w:lineRule="exact"/>
        <w:ind w:firstLine="0" w:firstLineChars="0"/>
        <w:rPr>
          <w:sz w:val="24"/>
        </w:rPr>
      </w:pPr>
    </w:p>
    <w:p>
      <w:pPr>
        <w:pStyle w:val="12"/>
        <w:spacing w:line="360" w:lineRule="auto"/>
        <w:ind w:firstLine="0" w:firstLineChars="0"/>
        <w:rPr>
          <w:b/>
          <w:sz w:val="28"/>
          <w:szCs w:val="28"/>
        </w:rPr>
      </w:pPr>
      <w:r>
        <w:rPr>
          <w:rFonts w:hint="eastAsia"/>
          <w:b/>
          <w:sz w:val="28"/>
          <w:szCs w:val="28"/>
        </w:rPr>
        <w:t>五、教学内容与进度安排</w:t>
      </w:r>
    </w:p>
    <w:p>
      <w:pPr>
        <w:pStyle w:val="12"/>
        <w:spacing w:line="400" w:lineRule="exact"/>
        <w:ind w:firstLine="465"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课程导言</w:t>
      </w:r>
    </w:p>
    <w:p>
      <w:pPr>
        <w:pStyle w:val="12"/>
        <w:spacing w:line="400" w:lineRule="exact"/>
        <w:ind w:firstLine="465" w:firstLineChars="0"/>
        <w:rPr>
          <w:rFonts w:asciiTheme="minorEastAsia" w:hAnsiTheme="minorEastAsia" w:eastAsiaTheme="minorEastAsia"/>
          <w:sz w:val="24"/>
          <w:szCs w:val="24"/>
        </w:rPr>
      </w:pP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第一单元 </w:t>
      </w:r>
      <w:r>
        <w:rPr>
          <w:rFonts w:hint="eastAsia" w:asciiTheme="minorEastAsia" w:hAnsiTheme="minorEastAsia" w:eastAsiaTheme="minorEastAsia"/>
          <w:sz w:val="24"/>
          <w:szCs w:val="24"/>
          <w:lang w:eastAsia="zh-CN"/>
        </w:rPr>
        <w:t>绘画材料的基本知识</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1.课时数：16课时</w:t>
      </w:r>
    </w:p>
    <w:p>
      <w:pPr>
        <w:pStyle w:val="12"/>
        <w:spacing w:line="400" w:lineRule="exact"/>
        <w:ind w:firstLine="720" w:firstLineChars="30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绘画材料的基本知识</w:t>
      </w:r>
    </w:p>
    <w:p>
      <w:pPr>
        <w:pStyle w:val="12"/>
        <w:spacing w:line="40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重点与难点：讲授绘画材料的特性与当代绘画创作的关系</w:t>
      </w:r>
    </w:p>
    <w:p>
      <w:pPr>
        <w:pStyle w:val="12"/>
        <w:spacing w:line="400" w:lineRule="exact"/>
        <w:ind w:left="660" w:leftChars="20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3.学生学习任务：了解</w:t>
      </w:r>
      <w:r>
        <w:rPr>
          <w:rFonts w:hint="eastAsia" w:asciiTheme="minorEastAsia" w:hAnsiTheme="minorEastAsia" w:eastAsiaTheme="minorEastAsia"/>
          <w:sz w:val="24"/>
          <w:szCs w:val="24"/>
          <w:lang w:eastAsia="zh-CN"/>
        </w:rPr>
        <w:t>各个材料进行的艺术</w:t>
      </w:r>
      <w:bookmarkStart w:id="0" w:name="_GoBack"/>
      <w:bookmarkEnd w:id="0"/>
      <w:r>
        <w:rPr>
          <w:rFonts w:hint="eastAsia" w:asciiTheme="minorEastAsia" w:hAnsiTheme="minorEastAsia" w:eastAsiaTheme="minorEastAsia"/>
          <w:sz w:val="24"/>
          <w:szCs w:val="24"/>
          <w:lang w:eastAsia="zh-CN"/>
        </w:rPr>
        <w:t>创作作品的特点与特性，对当代的一些作品进行研究并与其材料技法的运用有一个深入的了解，并结合自身的特点喜好发现自己的绘画特点。</w:t>
      </w:r>
    </w:p>
    <w:p>
      <w:pPr>
        <w:spacing w:line="360" w:lineRule="auto"/>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4.教学方法：</w:t>
      </w:r>
      <w:r>
        <w:rPr>
          <w:rFonts w:hint="eastAsia"/>
          <w:sz w:val="24"/>
          <w:szCs w:val="24"/>
        </w:rPr>
        <w:t>面授（课堂讲授、讨论）</w:t>
      </w:r>
    </w:p>
    <w:p>
      <w:pPr>
        <w:pStyle w:val="12"/>
        <w:spacing w:line="400" w:lineRule="exact"/>
        <w:ind w:left="660" w:leftChars="20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5.课外学习要求：</w:t>
      </w:r>
      <w:r>
        <w:rPr>
          <w:rFonts w:hint="eastAsia"/>
          <w:sz w:val="24"/>
          <w:szCs w:val="24"/>
        </w:rPr>
        <w:t>阅读和欣赏各类材料特性较强的绘画创作</w:t>
      </w:r>
    </w:p>
    <w:p>
      <w:pPr>
        <w:pStyle w:val="12"/>
        <w:spacing w:line="400" w:lineRule="exact"/>
        <w:ind w:firstLine="465" w:firstLineChars="0"/>
        <w:rPr>
          <w:rFonts w:asciiTheme="minorEastAsia" w:hAnsiTheme="minorEastAsia" w:eastAsiaTheme="minorEastAsia"/>
          <w:sz w:val="24"/>
          <w:szCs w:val="24"/>
        </w:rPr>
      </w:pP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第二单元 </w:t>
      </w:r>
      <w:r>
        <w:rPr>
          <w:rFonts w:hint="eastAsia" w:eastAsiaTheme="minorEastAsia"/>
          <w:sz w:val="24"/>
          <w:szCs w:val="24"/>
          <w:lang w:eastAsia="zh-CN"/>
        </w:rPr>
        <w:t>形成构思选取材料</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16</w:t>
      </w:r>
      <w:r>
        <w:rPr>
          <w:rFonts w:hint="eastAsia" w:asciiTheme="minorEastAsia" w:hAnsiTheme="minorEastAsia" w:eastAsiaTheme="minorEastAsia"/>
          <w:sz w:val="24"/>
          <w:szCs w:val="24"/>
        </w:rPr>
        <w:t>课时</w:t>
      </w: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指导每一个学生的构图思路与材料的运用</w:t>
      </w:r>
      <w:r>
        <w:rPr>
          <w:rFonts w:asciiTheme="minorEastAsia" w:hAnsiTheme="minorEastAsia" w:eastAsiaTheme="minorEastAsia"/>
          <w:sz w:val="24"/>
          <w:szCs w:val="24"/>
        </w:rPr>
        <w:t xml:space="preserve"> </w:t>
      </w:r>
    </w:p>
    <w:p>
      <w:pPr>
        <w:pStyle w:val="12"/>
        <w:spacing w:line="400" w:lineRule="exact"/>
        <w:ind w:left="840" w:leftChars="400"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w:t>
      </w:r>
      <w:r>
        <w:rPr>
          <w:sz w:val="24"/>
          <w:szCs w:val="24"/>
        </w:rPr>
        <w:t>指导每人构思构图</w:t>
      </w:r>
      <w:r>
        <w:rPr>
          <w:rFonts w:hint="eastAsia"/>
          <w:sz w:val="24"/>
          <w:szCs w:val="24"/>
        </w:rPr>
        <w:t>，引导材料的选择和运用</w:t>
      </w:r>
      <w:r>
        <w:rPr>
          <w:rFonts w:hint="eastAsia"/>
          <w:sz w:val="24"/>
          <w:szCs w:val="24"/>
          <w:lang w:eastAsia="zh-CN"/>
        </w:rPr>
        <w:t>。让每一个学生形成创作的思路，并且掌握如何形成材料的选取与运用。</w:t>
      </w:r>
    </w:p>
    <w:p>
      <w:pPr>
        <w:spacing w:line="400" w:lineRule="exact"/>
        <w:ind w:left="900" w:leftChars="200" w:hanging="480" w:hangingChars="200"/>
        <w:rPr>
          <w:rFonts w:ascii="宋体" w:hAnsi="宋体"/>
          <w:sz w:val="24"/>
          <w:szCs w:val="24"/>
        </w:rPr>
      </w:pPr>
      <w:r>
        <w:rPr>
          <w:rFonts w:hint="eastAsia" w:asciiTheme="minorEastAsia" w:hAnsiTheme="minorEastAsia" w:eastAsiaTheme="minorEastAsia"/>
          <w:sz w:val="24"/>
          <w:szCs w:val="24"/>
        </w:rPr>
        <w:t>3．学生学习任务：完成</w:t>
      </w:r>
      <w:r>
        <w:rPr>
          <w:rFonts w:hint="eastAsia" w:asciiTheme="minorEastAsia" w:hAnsiTheme="minorEastAsia" w:eastAsiaTheme="minorEastAsia"/>
          <w:sz w:val="24"/>
          <w:szCs w:val="24"/>
          <w:lang w:eastAsia="zh-CN"/>
        </w:rPr>
        <w:t>几张创作小稿</w:t>
      </w:r>
      <w:r>
        <w:rPr>
          <w:rFonts w:hint="eastAsia" w:asciiTheme="minorEastAsia" w:hAnsiTheme="minorEastAsia" w:eastAsiaTheme="minorEastAsia"/>
          <w:sz w:val="24"/>
          <w:szCs w:val="24"/>
        </w:rPr>
        <w:t>。能掌握基本</w:t>
      </w:r>
      <w:r>
        <w:rPr>
          <w:rFonts w:hint="eastAsia" w:asciiTheme="minorEastAsia" w:hAnsiTheme="minorEastAsia" w:eastAsiaTheme="minorEastAsia"/>
          <w:sz w:val="24"/>
          <w:szCs w:val="24"/>
          <w:lang w:eastAsia="zh-CN"/>
        </w:rPr>
        <w:t>的</w:t>
      </w:r>
      <w:r>
        <w:rPr>
          <w:rFonts w:hint="eastAsia" w:asciiTheme="minorEastAsia" w:hAnsiTheme="minorEastAsia" w:eastAsiaTheme="minorEastAsia"/>
          <w:sz w:val="24"/>
          <w:szCs w:val="24"/>
        </w:rPr>
        <w:t>构图能力，色彩整体关系和调性，</w:t>
      </w:r>
      <w:r>
        <w:rPr>
          <w:rFonts w:hint="eastAsia" w:asciiTheme="minorEastAsia" w:hAnsiTheme="minorEastAsia" w:eastAsiaTheme="minorEastAsia"/>
          <w:sz w:val="24"/>
          <w:szCs w:val="24"/>
          <w:lang w:eastAsia="zh-CN"/>
        </w:rPr>
        <w:t>初步掌握</w:t>
      </w:r>
      <w:r>
        <w:rPr>
          <w:rFonts w:hint="eastAsia" w:asciiTheme="minorEastAsia" w:hAnsiTheme="minorEastAsia" w:eastAsiaTheme="minorEastAsia"/>
          <w:sz w:val="24"/>
          <w:szCs w:val="24"/>
        </w:rPr>
        <w:t>塑造能力和细节表现和整体处理能力。</w:t>
      </w:r>
    </w:p>
    <w:p>
      <w:pPr>
        <w:pStyle w:val="1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4．教学方法：一对一面授</w:t>
      </w:r>
    </w:p>
    <w:p>
      <w:pPr>
        <w:pStyle w:val="12"/>
        <w:spacing w:line="400" w:lineRule="exact"/>
        <w:ind w:firstLine="480"/>
        <w:rPr>
          <w:rFonts w:asciiTheme="minorEastAsia" w:hAnsiTheme="minorEastAsia" w:eastAsiaTheme="minorEastAsia"/>
          <w:sz w:val="24"/>
          <w:szCs w:val="24"/>
        </w:rPr>
      </w:pPr>
    </w:p>
    <w:p>
      <w:pPr>
        <w:pStyle w:val="12"/>
        <w:spacing w:line="400" w:lineRule="exact"/>
        <w:rPr>
          <w:rFonts w:hint="eastAsia"/>
          <w:sz w:val="24"/>
          <w:szCs w:val="24"/>
        </w:rPr>
      </w:pPr>
      <w:r>
        <w:rPr>
          <w:rFonts w:hint="eastAsia" w:asciiTheme="minorEastAsia" w:hAnsiTheme="minorEastAsia" w:eastAsiaTheme="minorEastAsia"/>
          <w:sz w:val="24"/>
          <w:szCs w:val="24"/>
        </w:rPr>
        <w:t>5．课外学习要求：</w:t>
      </w:r>
      <w:r>
        <w:rPr>
          <w:rFonts w:hint="eastAsia"/>
          <w:sz w:val="24"/>
          <w:szCs w:val="24"/>
        </w:rPr>
        <w:t>阅读和欣赏各类材料特性较强的绘画创作</w:t>
      </w:r>
      <w:r>
        <w:rPr>
          <w:rFonts w:hint="eastAsia"/>
          <w:sz w:val="24"/>
          <w:szCs w:val="24"/>
          <w:lang w:eastAsia="zh-CN"/>
        </w:rPr>
        <w:t>。</w:t>
      </w:r>
    </w:p>
    <w:p>
      <w:pPr>
        <w:pStyle w:val="12"/>
        <w:spacing w:line="400" w:lineRule="exact"/>
        <w:ind w:left="870" w:leftChars="300" w:hanging="240" w:hangingChars="100"/>
        <w:rPr>
          <w:rFonts w:hint="eastAsia"/>
          <w:sz w:val="24"/>
          <w:szCs w:val="24"/>
        </w:rPr>
      </w:pPr>
    </w:p>
    <w:p>
      <w:pPr>
        <w:pStyle w:val="12"/>
        <w:spacing w:line="400" w:lineRule="exact"/>
        <w:ind w:left="870" w:leftChars="300" w:hanging="240" w:hangingChars="100"/>
        <w:rPr>
          <w:sz w:val="24"/>
          <w:szCs w:val="24"/>
        </w:rPr>
      </w:pP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第三单元 </w:t>
      </w:r>
      <w:r>
        <w:rPr>
          <w:rFonts w:hint="eastAsia" w:asciiTheme="minorEastAsia" w:hAnsiTheme="minorEastAsia" w:eastAsiaTheme="minorEastAsia"/>
          <w:sz w:val="24"/>
          <w:szCs w:val="24"/>
          <w:lang w:eastAsia="zh-CN"/>
        </w:rPr>
        <w:t>创作指导</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16</w:t>
      </w:r>
      <w:r>
        <w:rPr>
          <w:rFonts w:hint="eastAsia" w:asciiTheme="minorEastAsia" w:hAnsiTheme="minorEastAsia" w:eastAsiaTheme="minorEastAsia"/>
          <w:sz w:val="24"/>
          <w:szCs w:val="24"/>
        </w:rPr>
        <w:t>课时</w:t>
      </w:r>
    </w:p>
    <w:p>
      <w:pPr>
        <w:pStyle w:val="1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运用材料进创作</w:t>
      </w:r>
      <w:r>
        <w:rPr>
          <w:rFonts w:hint="eastAsia" w:asciiTheme="minorEastAsia" w:hAnsiTheme="minorEastAsia" w:eastAsiaTheme="minorEastAsia"/>
          <w:sz w:val="24"/>
          <w:szCs w:val="24"/>
        </w:rPr>
        <w:t>。</w:t>
      </w: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w:t>
      </w:r>
      <w:r>
        <w:rPr>
          <w:sz w:val="24"/>
          <w:szCs w:val="24"/>
        </w:rPr>
        <w:t>辅导学生创作</w:t>
      </w:r>
    </w:p>
    <w:p>
      <w:pPr>
        <w:pStyle w:val="1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3．学生学习任务：</w:t>
      </w:r>
      <w:r>
        <w:rPr>
          <w:rFonts w:hint="eastAsia" w:asciiTheme="minorEastAsia" w:hAnsiTheme="minorEastAsia" w:eastAsiaTheme="minorEastAsia"/>
          <w:sz w:val="24"/>
          <w:szCs w:val="24"/>
          <w:lang w:eastAsia="zh-CN"/>
        </w:rPr>
        <w:t>熟练地掌握和运用油壶技法完成教师针对不同课程提出的教学要求并完成作品质量。</w:t>
      </w:r>
    </w:p>
    <w:p>
      <w:pPr>
        <w:pStyle w:val="1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4．教学方法：</w:t>
      </w:r>
      <w:r>
        <w:rPr>
          <w:sz w:val="24"/>
          <w:szCs w:val="24"/>
        </w:rPr>
        <w:t>一对一</w:t>
      </w:r>
      <w:r>
        <w:rPr>
          <w:rFonts w:hint="eastAsia"/>
          <w:sz w:val="24"/>
          <w:szCs w:val="24"/>
        </w:rPr>
        <w:t>面授</w:t>
      </w: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5．课外学习要求：</w:t>
      </w:r>
      <w:r>
        <w:rPr>
          <w:sz w:val="24"/>
          <w:szCs w:val="24"/>
        </w:rPr>
        <w:t>利用课余时间继续创作</w:t>
      </w:r>
    </w:p>
    <w:p>
      <w:pPr>
        <w:pStyle w:val="12"/>
        <w:spacing w:line="400" w:lineRule="exact"/>
        <w:ind w:firstLine="480" w:firstLineChars="0"/>
        <w:rPr>
          <w:sz w:val="24"/>
          <w:szCs w:val="24"/>
        </w:rPr>
      </w:pPr>
    </w:p>
    <w:p>
      <w:pPr>
        <w:pStyle w:val="12"/>
        <w:spacing w:line="360" w:lineRule="auto"/>
        <w:ind w:firstLine="0" w:firstLineChars="0"/>
        <w:rPr>
          <w:b/>
          <w:sz w:val="28"/>
          <w:szCs w:val="28"/>
        </w:rPr>
      </w:pPr>
      <w:r>
        <w:rPr>
          <w:rFonts w:hint="eastAsia"/>
          <w:b/>
          <w:sz w:val="28"/>
          <w:szCs w:val="28"/>
        </w:rPr>
        <w:t>六、修读要求</w:t>
      </w:r>
    </w:p>
    <w:p>
      <w:pPr>
        <w:spacing w:line="400" w:lineRule="exact"/>
        <w:ind w:firstLine="480" w:firstLineChars="200"/>
        <w:rPr>
          <w:rFonts w:ascii="宋体" w:cs="Arial"/>
          <w:color w:val="000000"/>
          <w:kern w:val="0"/>
          <w:sz w:val="24"/>
        </w:rPr>
      </w:pPr>
      <w:r>
        <w:rPr>
          <w:rFonts w:hint="eastAsia" w:ascii="宋体" w:hAnsi="宋体" w:cs="Arial"/>
          <w:color w:val="000000"/>
          <w:kern w:val="0"/>
          <w:sz w:val="24"/>
        </w:rPr>
        <w:t>1．</w:t>
      </w:r>
      <w:r>
        <w:rPr>
          <w:rFonts w:hint="eastAsia"/>
          <w:sz w:val="24"/>
          <w:szCs w:val="24"/>
        </w:rPr>
        <w:t>遵守的课堂纪律，不迟到不早退，课上积极参与课堂讨论。认真阅读课外资料并按时完成作业。</w:t>
      </w:r>
      <w:r>
        <w:rPr>
          <w:rFonts w:ascii="宋体" w:cs="Arial"/>
          <w:color w:val="000000"/>
          <w:kern w:val="0"/>
          <w:sz w:val="24"/>
        </w:rPr>
        <w:t xml:space="preserve"> </w:t>
      </w:r>
    </w:p>
    <w:p>
      <w:pPr>
        <w:spacing w:line="400" w:lineRule="exact"/>
        <w:ind w:firstLine="480" w:firstLineChars="200"/>
        <w:rPr>
          <w:rFonts w:ascii="宋体" w:cs="Arial"/>
          <w:color w:val="000000"/>
          <w:kern w:val="0"/>
          <w:sz w:val="24"/>
          <w:szCs w:val="24"/>
        </w:rPr>
      </w:pPr>
      <w:r>
        <w:rPr>
          <w:rFonts w:hint="eastAsia" w:ascii="宋体" w:hAnsi="宋体" w:cs="Arial"/>
          <w:color w:val="000000"/>
          <w:kern w:val="0"/>
          <w:sz w:val="24"/>
          <w:szCs w:val="24"/>
        </w:rPr>
        <w:t>2．面授时做好课堂笔记，并积极参与课堂讨论。</w:t>
      </w:r>
    </w:p>
    <w:p>
      <w:pPr>
        <w:spacing w:line="400" w:lineRule="exact"/>
        <w:ind w:left="660" w:leftChars="200" w:hanging="240" w:hangingChars="100"/>
        <w:rPr>
          <w:rFonts w:ascii="宋体" w:hAnsi="宋体" w:cs="Arial"/>
          <w:color w:val="000000"/>
          <w:kern w:val="0"/>
          <w:sz w:val="24"/>
        </w:rPr>
      </w:pPr>
      <w:r>
        <w:rPr>
          <w:rFonts w:hint="eastAsia" w:ascii="宋体" w:hAnsi="宋体" w:cs="Arial"/>
          <w:color w:val="000000"/>
          <w:kern w:val="0"/>
          <w:sz w:val="24"/>
          <w:szCs w:val="24"/>
        </w:rPr>
        <w:t>3．根据进度做好课程内容的预备及课后总结工作，理解和巩固课</w:t>
      </w:r>
      <w:r>
        <w:rPr>
          <w:rFonts w:hint="eastAsia" w:ascii="宋体" w:hAnsi="宋体" w:cs="Arial"/>
          <w:color w:val="000000"/>
          <w:kern w:val="0"/>
          <w:sz w:val="24"/>
        </w:rPr>
        <w:t>程基本知识。</w:t>
      </w:r>
    </w:p>
    <w:p>
      <w:pPr>
        <w:spacing w:line="400" w:lineRule="exact"/>
        <w:ind w:left="660" w:leftChars="200" w:hanging="240" w:hangingChars="100"/>
        <w:rPr>
          <w:rFonts w:asciiTheme="minorEastAsia" w:hAnsiTheme="minorEastAsia" w:eastAsiaTheme="minorEastAsia"/>
          <w:sz w:val="24"/>
          <w:szCs w:val="24"/>
        </w:rPr>
      </w:pPr>
      <w:r>
        <w:rPr>
          <w:rFonts w:hint="eastAsia" w:ascii="宋体" w:hAnsi="宋体" w:cs="Arial"/>
          <w:color w:val="000000"/>
          <w:kern w:val="0"/>
          <w:sz w:val="24"/>
        </w:rPr>
        <w:t>4．根据提供的参考资料，进行课前后的参考阅读及分析，相互讨论或向老师提问。</w:t>
      </w:r>
    </w:p>
    <w:p>
      <w:pPr>
        <w:spacing w:line="440" w:lineRule="exact"/>
        <w:ind w:left="660" w:leftChars="200" w:hanging="240" w:hangingChars="100"/>
        <w:rPr>
          <w:rFonts w:hint="eastAsia" w:ascii="宋体" w:hAnsi="宋体" w:cs="Arial"/>
          <w:color w:val="000000"/>
          <w:kern w:val="0"/>
          <w:sz w:val="24"/>
        </w:rPr>
      </w:pPr>
      <w:r>
        <w:rPr>
          <w:rFonts w:hint="eastAsia" w:ascii="宋体" w:hAnsi="宋体" w:cs="Arial"/>
          <w:color w:val="000000"/>
          <w:kern w:val="0"/>
          <w:sz w:val="24"/>
        </w:rPr>
        <w:t>5.每人</w:t>
      </w:r>
      <w:r>
        <w:rPr>
          <w:rFonts w:hint="eastAsia" w:ascii="宋体" w:hAnsi="宋体" w:cs="Arial"/>
          <w:color w:val="000000"/>
          <w:kern w:val="0"/>
          <w:sz w:val="24"/>
          <w:lang w:eastAsia="zh-CN"/>
        </w:rPr>
        <w:t>按照要求</w:t>
      </w:r>
      <w:r>
        <w:rPr>
          <w:rFonts w:hint="eastAsia" w:ascii="宋体" w:hAnsi="宋体" w:cs="Arial"/>
          <w:color w:val="000000"/>
          <w:kern w:val="0"/>
          <w:sz w:val="24"/>
        </w:rPr>
        <w:t>完成</w:t>
      </w:r>
      <w:r>
        <w:rPr>
          <w:rFonts w:hint="eastAsia" w:ascii="宋体" w:hAnsi="宋体" w:cs="Arial"/>
          <w:color w:val="000000"/>
          <w:kern w:val="0"/>
          <w:sz w:val="24"/>
          <w:lang w:eastAsia="zh-CN"/>
        </w:rPr>
        <w:t>两三</w:t>
      </w:r>
      <w:r>
        <w:rPr>
          <w:rFonts w:hint="eastAsia" w:ascii="宋体" w:hAnsi="宋体" w:cs="Arial"/>
          <w:color w:val="000000"/>
          <w:kern w:val="0"/>
          <w:sz w:val="24"/>
        </w:rPr>
        <w:t>张比较完整的</w:t>
      </w:r>
      <w:r>
        <w:rPr>
          <w:rFonts w:hint="eastAsia" w:ascii="宋体" w:hAnsi="宋体" w:cs="Arial"/>
          <w:color w:val="000000"/>
          <w:kern w:val="0"/>
          <w:sz w:val="24"/>
          <w:lang w:eastAsia="zh-CN"/>
        </w:rPr>
        <w:t>作品，并基本掌握绘画材料的知识</w:t>
      </w:r>
      <w:r>
        <w:rPr>
          <w:rFonts w:hint="eastAsia" w:ascii="宋体" w:hAnsi="宋体" w:cs="Arial"/>
          <w:color w:val="000000"/>
          <w:kern w:val="0"/>
          <w:sz w:val="24"/>
        </w:rPr>
        <w:t>。</w:t>
      </w:r>
    </w:p>
    <w:p>
      <w:pPr>
        <w:ind w:left="660" w:leftChars="200" w:hanging="240" w:hangingChars="100"/>
        <w:rPr>
          <w:rFonts w:ascii="宋体" w:hAnsi="宋体" w:cs="Arial"/>
          <w:color w:val="000000"/>
          <w:kern w:val="0"/>
          <w:sz w:val="24"/>
        </w:rPr>
      </w:pPr>
    </w:p>
    <w:p>
      <w:pPr>
        <w:spacing w:line="440" w:lineRule="exact"/>
        <w:ind w:left="660" w:leftChars="200" w:hanging="240" w:hangingChars="100"/>
        <w:rPr>
          <w:rFonts w:ascii="宋体" w:hAnsi="宋体" w:cs="Arial"/>
          <w:color w:val="000000"/>
          <w:kern w:val="0"/>
          <w:sz w:val="24"/>
        </w:rPr>
      </w:pPr>
    </w:p>
    <w:p>
      <w:pPr>
        <w:pStyle w:val="12"/>
        <w:spacing w:line="360" w:lineRule="auto"/>
        <w:ind w:firstLine="0" w:firstLineChars="0"/>
        <w:rPr>
          <w:sz w:val="24"/>
          <w:szCs w:val="24"/>
        </w:rPr>
      </w:pPr>
      <w:r>
        <w:rPr>
          <w:rFonts w:hint="eastAsia"/>
          <w:b/>
          <w:sz w:val="28"/>
          <w:szCs w:val="28"/>
        </w:rPr>
        <w:t>七、学习评价方案</w:t>
      </w:r>
    </w:p>
    <w:p>
      <w:pPr>
        <w:pStyle w:val="12"/>
        <w:spacing w:line="360" w:lineRule="auto"/>
        <w:ind w:firstLine="473" w:firstLineChars="197"/>
        <w:rPr>
          <w:rFonts w:hint="eastAsia"/>
          <w:sz w:val="24"/>
          <w:szCs w:val="24"/>
        </w:rPr>
      </w:pPr>
      <w:r>
        <w:rPr>
          <w:sz w:val="24"/>
          <w:szCs w:val="24"/>
        </w:rPr>
        <w:t xml:space="preserve">   </w:t>
      </w:r>
      <w:r>
        <w:rPr>
          <w:rFonts w:hint="eastAsia"/>
          <w:sz w:val="24"/>
          <w:szCs w:val="24"/>
        </w:rPr>
        <w:t xml:space="preserve"> 本课程的学习评价主要通过课堂练习考察完成。总成绩分平时成绩和期末成绩，平时成绩占百分之60，期末占百分之40。平时成绩主要根据每次的出勤情况和上课情况以及所有的作业情况，（迟到早退，旷课都会酌情扣分）。期末成绩主要根据优选的一张写生作业或考察报告情况评定。成绩一律采用百分制，再据此划分优、良、中等、及格和不及格五个等级。</w:t>
      </w:r>
    </w:p>
    <w:p>
      <w:pPr>
        <w:pStyle w:val="3"/>
        <w:rPr>
          <w:rFonts w:ascii="Calibri" w:hAnsi="Calibri" w:eastAsia="宋体"/>
          <w:bCs w:val="0"/>
          <w:kern w:val="2"/>
          <w:sz w:val="28"/>
          <w:szCs w:val="28"/>
        </w:rPr>
      </w:pPr>
      <w:r>
        <w:rPr>
          <w:rFonts w:ascii="Calibri" w:hAnsi="Calibri" w:eastAsia="宋体"/>
          <w:bCs w:val="0"/>
          <w:kern w:val="2"/>
          <w:sz w:val="28"/>
          <w:szCs w:val="28"/>
        </w:rPr>
        <w:t>评分标准</w:t>
      </w:r>
      <w:r>
        <w:rPr>
          <w:rFonts w:hint="eastAsia" w:ascii="Calibri" w:hAnsi="Calibri" w:eastAsia="宋体"/>
          <w:bCs w:val="0"/>
          <w:kern w:val="2"/>
          <w:sz w:val="28"/>
          <w:szCs w:val="28"/>
        </w:rPr>
        <w:t>：</w:t>
      </w:r>
    </w:p>
    <w:p/>
    <w:p>
      <w:pPr>
        <w:rPr>
          <w:sz w:val="24"/>
          <w:szCs w:val="24"/>
        </w:rPr>
      </w:pPr>
      <w:r>
        <w:rPr>
          <w:rFonts w:hint="eastAsia"/>
          <w:sz w:val="24"/>
          <w:szCs w:val="24"/>
        </w:rPr>
        <w:t>优秀（90-100）</w:t>
      </w:r>
    </w:p>
    <w:p>
      <w:pPr>
        <w:rPr>
          <w:rFonts w:hint="eastAsia"/>
          <w:sz w:val="24"/>
          <w:szCs w:val="24"/>
        </w:rPr>
      </w:pPr>
      <w:r>
        <w:rPr>
          <w:rFonts w:hint="eastAsia"/>
          <w:sz w:val="24"/>
          <w:szCs w:val="24"/>
        </w:rPr>
        <w:t>作品完整，色调明确，造型突出，绘画材料技法运用到位贴切，整体视觉表现力强，艺术效果成熟。绘画材料技法运用有一定的新意创意，能体现较明确的想法或观念，并有较明显独特的风格和表现语言。</w:t>
      </w:r>
    </w:p>
    <w:p>
      <w:pPr>
        <w:rPr>
          <w:rFonts w:hint="eastAsia"/>
          <w:sz w:val="24"/>
          <w:szCs w:val="24"/>
        </w:rPr>
      </w:pPr>
    </w:p>
    <w:p>
      <w:pPr>
        <w:rPr>
          <w:sz w:val="24"/>
          <w:szCs w:val="24"/>
        </w:rPr>
      </w:pPr>
      <w:r>
        <w:rPr>
          <w:rFonts w:hint="eastAsia"/>
          <w:sz w:val="24"/>
          <w:szCs w:val="24"/>
        </w:rPr>
        <w:t>良好（89-90）</w:t>
      </w:r>
    </w:p>
    <w:p>
      <w:pPr>
        <w:rPr>
          <w:sz w:val="24"/>
          <w:szCs w:val="24"/>
        </w:rPr>
      </w:pPr>
      <w:r>
        <w:rPr>
          <w:rFonts w:hint="eastAsia"/>
          <w:sz w:val="24"/>
          <w:szCs w:val="24"/>
        </w:rPr>
        <w:t>作品完整，在色彩和造型方面有较好的表现，绘画材料技法运用到位贴切，整体视觉表现力较强，艺术效果较好。绘画材料技法运用有一定的新意创意，并有一定的风格和表现语言，有很好的发展潜力。</w:t>
      </w:r>
    </w:p>
    <w:p>
      <w:pPr>
        <w:rPr>
          <w:sz w:val="24"/>
          <w:szCs w:val="24"/>
        </w:rPr>
      </w:pPr>
    </w:p>
    <w:p>
      <w:pPr>
        <w:rPr>
          <w:sz w:val="24"/>
          <w:szCs w:val="24"/>
        </w:rPr>
      </w:pPr>
      <w:r>
        <w:rPr>
          <w:rFonts w:hint="eastAsia"/>
          <w:sz w:val="24"/>
          <w:szCs w:val="24"/>
        </w:rPr>
        <w:t>中等（70-80）</w:t>
      </w:r>
    </w:p>
    <w:p>
      <w:pPr>
        <w:rPr>
          <w:rFonts w:hint="eastAsia"/>
          <w:sz w:val="24"/>
          <w:szCs w:val="24"/>
        </w:rPr>
      </w:pPr>
      <w:r>
        <w:rPr>
          <w:rFonts w:hint="eastAsia"/>
          <w:sz w:val="24"/>
          <w:szCs w:val="24"/>
        </w:rPr>
        <w:t>作品基本完整，在色彩或造型方面表现尚可，有基本的视觉表现力。主题内容构思基本明确，其中某一方面尤其在材料运用有较好的表现。</w:t>
      </w:r>
    </w:p>
    <w:p>
      <w:pPr>
        <w:rPr>
          <w:rFonts w:hint="eastAsia"/>
          <w:sz w:val="24"/>
          <w:szCs w:val="24"/>
        </w:rPr>
      </w:pPr>
    </w:p>
    <w:p>
      <w:pPr>
        <w:rPr>
          <w:sz w:val="24"/>
          <w:szCs w:val="24"/>
        </w:rPr>
      </w:pPr>
      <w:r>
        <w:rPr>
          <w:rFonts w:hint="eastAsia"/>
          <w:sz w:val="24"/>
          <w:szCs w:val="24"/>
        </w:rPr>
        <w:t>合格（60-70）</w:t>
      </w:r>
    </w:p>
    <w:p>
      <w:pPr>
        <w:rPr>
          <w:sz w:val="24"/>
          <w:szCs w:val="24"/>
        </w:rPr>
      </w:pPr>
      <w:r>
        <w:rPr>
          <w:rFonts w:hint="eastAsia"/>
          <w:sz w:val="24"/>
          <w:szCs w:val="24"/>
        </w:rPr>
        <w:t>尚能完成要求的作业，在某些方面还能达到作业的基本要求，色彩或造型方面出现的问题还是比较多，缺乏材料和创作的意识，尚需进一步努力和提高。</w:t>
      </w:r>
    </w:p>
    <w:p>
      <w:pPr>
        <w:rPr>
          <w:sz w:val="24"/>
          <w:szCs w:val="24"/>
        </w:rPr>
      </w:pPr>
    </w:p>
    <w:p>
      <w:pPr>
        <w:rPr>
          <w:sz w:val="24"/>
          <w:szCs w:val="24"/>
        </w:rPr>
      </w:pPr>
      <w:r>
        <w:rPr>
          <w:rFonts w:hint="eastAsia"/>
          <w:sz w:val="24"/>
          <w:szCs w:val="24"/>
        </w:rPr>
        <w:t>不合格（0-60）</w:t>
      </w:r>
    </w:p>
    <w:p>
      <w:pPr>
        <w:rPr>
          <w:rFonts w:hint="eastAsia"/>
          <w:sz w:val="24"/>
          <w:szCs w:val="24"/>
        </w:rPr>
      </w:pPr>
      <w:r>
        <w:rPr>
          <w:rFonts w:hint="eastAsia"/>
          <w:sz w:val="24"/>
          <w:szCs w:val="24"/>
        </w:rPr>
        <w:t>不能完成作业或作业完全达不到教学要求，上课态度也比较差。作业在色彩造型等各个方面都很有问题。</w:t>
      </w:r>
    </w:p>
    <w:p>
      <w:pPr>
        <w:rPr>
          <w:rFonts w:hint="eastAsia"/>
          <w:sz w:val="24"/>
          <w:szCs w:val="24"/>
        </w:rPr>
      </w:pPr>
    </w:p>
    <w:p>
      <w:pPr>
        <w:spacing w:line="400" w:lineRule="exact"/>
        <w:ind w:left="843" w:hanging="843" w:hangingChars="300"/>
        <w:rPr>
          <w:b/>
          <w:sz w:val="28"/>
          <w:szCs w:val="28"/>
        </w:rPr>
      </w:pPr>
      <w:r>
        <w:rPr>
          <w:rFonts w:hint="eastAsia"/>
          <w:b/>
          <w:sz w:val="28"/>
          <w:szCs w:val="28"/>
        </w:rPr>
        <w:t>八、课程资源</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《欧洲绘画大师技法与材料》 ，马克斯·多奈尔著， 杨红太、杨鸿晏译，清华大学出版社，2006年；</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《绘画材料与技法研究》，游二川著，重庆大学出版社，2011年；</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《材料艺术》，张元、赵杨著，高等教育出版社，2005年；</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《材料与表现》，张元、马路著，黑龙江美术出版社，2000年；</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《坦培拉绘画技法》，刘孔喜著，安徽美术出版社，2010年。</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国内外当代知名艺术家的个案及画册</w:t>
      </w:r>
    </w:p>
    <w:p>
      <w:pPr>
        <w:spacing w:line="400" w:lineRule="exact"/>
        <w:rPr>
          <w:rFonts w:cs="Arial" w:asciiTheme="minorEastAsia" w:hAnsiTheme="minorEastAsia" w:eastAsiaTheme="minorEastAsia"/>
          <w:color w:val="000000"/>
          <w:kern w:val="0"/>
          <w:sz w:val="24"/>
        </w:rPr>
      </w:pP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九、其他需要说明的事宜</w:t>
      </w:r>
    </w:p>
    <w:p>
      <w:pPr>
        <w:ind w:right="-483" w:rightChars="-230"/>
        <w:rPr>
          <w:rFonts w:hint="eastAsia"/>
          <w:sz w:val="24"/>
          <w:szCs w:val="24"/>
        </w:rPr>
      </w:pPr>
      <w:r>
        <w:rPr>
          <w:rFonts w:hint="eastAsia"/>
          <w:sz w:val="24"/>
          <w:szCs w:val="24"/>
        </w:rPr>
        <w:t>创作以人物或人体（一人）为主题内容的创作一幅，尺寸在60—90厘米左右。突出绘画材料技法的运用和研究。</w:t>
      </w:r>
    </w:p>
    <w:p>
      <w:pPr>
        <w:spacing w:line="400" w:lineRule="exact"/>
        <w:ind w:firstLine="480" w:firstLineChars="200"/>
        <w:rPr>
          <w:rFonts w:asciiTheme="minorEastAsia" w:hAnsiTheme="minorEastAsia" w:eastAsiaTheme="minorEastAsia"/>
        </w:rPr>
      </w:pPr>
      <w:r>
        <w:rPr>
          <w:rFonts w:hint="eastAsia" w:cs="Arial" w:asciiTheme="minorEastAsia" w:hAnsiTheme="minorEastAsia" w:eastAsiaTheme="minorEastAsia"/>
          <w:color w:val="000000"/>
          <w:kern w:val="0"/>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977BC6"/>
    <w:multiLevelType w:val="multilevel"/>
    <w:tmpl w:val="78977BC6"/>
    <w:lvl w:ilvl="0" w:tentative="0">
      <w:start w:val="1"/>
      <w:numFmt w:val="decimal"/>
      <w:lvlText w:val="%1."/>
      <w:lvlJc w:val="left"/>
      <w:pPr>
        <w:ind w:left="416" w:hanging="360"/>
      </w:pPr>
      <w:rPr>
        <w:rFonts w:hint="default"/>
      </w:rPr>
    </w:lvl>
    <w:lvl w:ilvl="1" w:tentative="0">
      <w:start w:val="1"/>
      <w:numFmt w:val="lowerLetter"/>
      <w:lvlText w:val="%2)"/>
      <w:lvlJc w:val="left"/>
      <w:pPr>
        <w:ind w:left="896" w:hanging="420"/>
      </w:pPr>
    </w:lvl>
    <w:lvl w:ilvl="2" w:tentative="0">
      <w:start w:val="1"/>
      <w:numFmt w:val="lowerRoman"/>
      <w:lvlText w:val="%3."/>
      <w:lvlJc w:val="right"/>
      <w:pPr>
        <w:ind w:left="1316" w:hanging="420"/>
      </w:pPr>
    </w:lvl>
    <w:lvl w:ilvl="3" w:tentative="0">
      <w:start w:val="1"/>
      <w:numFmt w:val="decimal"/>
      <w:lvlText w:val="%4."/>
      <w:lvlJc w:val="left"/>
      <w:pPr>
        <w:ind w:left="1736" w:hanging="420"/>
      </w:pPr>
    </w:lvl>
    <w:lvl w:ilvl="4" w:tentative="0">
      <w:start w:val="1"/>
      <w:numFmt w:val="lowerLetter"/>
      <w:lvlText w:val="%5)"/>
      <w:lvlJc w:val="left"/>
      <w:pPr>
        <w:ind w:left="2156" w:hanging="420"/>
      </w:pPr>
    </w:lvl>
    <w:lvl w:ilvl="5" w:tentative="0">
      <w:start w:val="1"/>
      <w:numFmt w:val="lowerRoman"/>
      <w:lvlText w:val="%6."/>
      <w:lvlJc w:val="right"/>
      <w:pPr>
        <w:ind w:left="2576" w:hanging="420"/>
      </w:pPr>
    </w:lvl>
    <w:lvl w:ilvl="6" w:tentative="0">
      <w:start w:val="1"/>
      <w:numFmt w:val="decimal"/>
      <w:lvlText w:val="%7."/>
      <w:lvlJc w:val="left"/>
      <w:pPr>
        <w:ind w:left="2996" w:hanging="420"/>
      </w:pPr>
    </w:lvl>
    <w:lvl w:ilvl="7" w:tentative="0">
      <w:start w:val="1"/>
      <w:numFmt w:val="lowerLetter"/>
      <w:lvlText w:val="%8)"/>
      <w:lvlJc w:val="left"/>
      <w:pPr>
        <w:ind w:left="3416" w:hanging="420"/>
      </w:pPr>
    </w:lvl>
    <w:lvl w:ilvl="8" w:tentative="0">
      <w:start w:val="1"/>
      <w:numFmt w:val="lowerRoman"/>
      <w:lvlText w:val="%9."/>
      <w:lvlJc w:val="right"/>
      <w:pPr>
        <w:ind w:left="383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26"/>
    <w:rsid w:val="0000252F"/>
    <w:rsid w:val="00021DAB"/>
    <w:rsid w:val="000245AD"/>
    <w:rsid w:val="00041147"/>
    <w:rsid w:val="00060604"/>
    <w:rsid w:val="000630AF"/>
    <w:rsid w:val="000701C7"/>
    <w:rsid w:val="00071B7F"/>
    <w:rsid w:val="00090D0D"/>
    <w:rsid w:val="00092D4F"/>
    <w:rsid w:val="00093C86"/>
    <w:rsid w:val="000A0F7F"/>
    <w:rsid w:val="000A51C7"/>
    <w:rsid w:val="000B143C"/>
    <w:rsid w:val="000D0454"/>
    <w:rsid w:val="000D27E4"/>
    <w:rsid w:val="000E38D8"/>
    <w:rsid w:val="000E6EB6"/>
    <w:rsid w:val="000E7432"/>
    <w:rsid w:val="000E7FB7"/>
    <w:rsid w:val="00105578"/>
    <w:rsid w:val="00105A5A"/>
    <w:rsid w:val="00110044"/>
    <w:rsid w:val="00142ED4"/>
    <w:rsid w:val="00146B5A"/>
    <w:rsid w:val="00162B31"/>
    <w:rsid w:val="001B3598"/>
    <w:rsid w:val="001F75AD"/>
    <w:rsid w:val="00213B38"/>
    <w:rsid w:val="00215862"/>
    <w:rsid w:val="00233121"/>
    <w:rsid w:val="0024411F"/>
    <w:rsid w:val="00244A8E"/>
    <w:rsid w:val="0025050E"/>
    <w:rsid w:val="002602E6"/>
    <w:rsid w:val="0026171A"/>
    <w:rsid w:val="0027002F"/>
    <w:rsid w:val="00287C78"/>
    <w:rsid w:val="002C6E4A"/>
    <w:rsid w:val="002E6421"/>
    <w:rsid w:val="002F19AE"/>
    <w:rsid w:val="002F26F5"/>
    <w:rsid w:val="00317D67"/>
    <w:rsid w:val="00320A22"/>
    <w:rsid w:val="00340592"/>
    <w:rsid w:val="00362EC2"/>
    <w:rsid w:val="00373479"/>
    <w:rsid w:val="00375EEF"/>
    <w:rsid w:val="0037741C"/>
    <w:rsid w:val="00395639"/>
    <w:rsid w:val="003A7ADA"/>
    <w:rsid w:val="003D2D35"/>
    <w:rsid w:val="003E2D1C"/>
    <w:rsid w:val="003E70C4"/>
    <w:rsid w:val="003F2313"/>
    <w:rsid w:val="00424436"/>
    <w:rsid w:val="004467E8"/>
    <w:rsid w:val="0047051F"/>
    <w:rsid w:val="004828F1"/>
    <w:rsid w:val="00484A0B"/>
    <w:rsid w:val="00492C6D"/>
    <w:rsid w:val="00493C5F"/>
    <w:rsid w:val="004956A8"/>
    <w:rsid w:val="004A2F76"/>
    <w:rsid w:val="004C46F1"/>
    <w:rsid w:val="004D76FC"/>
    <w:rsid w:val="0052544B"/>
    <w:rsid w:val="00560AE4"/>
    <w:rsid w:val="005706D2"/>
    <w:rsid w:val="00573B48"/>
    <w:rsid w:val="00574B9A"/>
    <w:rsid w:val="00597B19"/>
    <w:rsid w:val="005A3143"/>
    <w:rsid w:val="005B3D68"/>
    <w:rsid w:val="005C127D"/>
    <w:rsid w:val="005C29D2"/>
    <w:rsid w:val="005C5F8F"/>
    <w:rsid w:val="00616D4D"/>
    <w:rsid w:val="0064074D"/>
    <w:rsid w:val="0065081D"/>
    <w:rsid w:val="00651019"/>
    <w:rsid w:val="00655237"/>
    <w:rsid w:val="006A5C30"/>
    <w:rsid w:val="006C770C"/>
    <w:rsid w:val="006D2016"/>
    <w:rsid w:val="00702AE9"/>
    <w:rsid w:val="00770A23"/>
    <w:rsid w:val="00787238"/>
    <w:rsid w:val="00796EEB"/>
    <w:rsid w:val="007B0B73"/>
    <w:rsid w:val="007B592C"/>
    <w:rsid w:val="007C0D84"/>
    <w:rsid w:val="007D4B1D"/>
    <w:rsid w:val="007E22AD"/>
    <w:rsid w:val="007F1C6B"/>
    <w:rsid w:val="00816A5A"/>
    <w:rsid w:val="0082539A"/>
    <w:rsid w:val="00834412"/>
    <w:rsid w:val="00847639"/>
    <w:rsid w:val="00864EAD"/>
    <w:rsid w:val="00873CD7"/>
    <w:rsid w:val="00890832"/>
    <w:rsid w:val="00893450"/>
    <w:rsid w:val="00893818"/>
    <w:rsid w:val="00895DC2"/>
    <w:rsid w:val="008A4CB2"/>
    <w:rsid w:val="008A616D"/>
    <w:rsid w:val="008B7056"/>
    <w:rsid w:val="008C2B45"/>
    <w:rsid w:val="008C4DD3"/>
    <w:rsid w:val="0090649E"/>
    <w:rsid w:val="00930066"/>
    <w:rsid w:val="0093662D"/>
    <w:rsid w:val="00967302"/>
    <w:rsid w:val="009A1D71"/>
    <w:rsid w:val="009A547E"/>
    <w:rsid w:val="009B1B3D"/>
    <w:rsid w:val="009C0768"/>
    <w:rsid w:val="009F10F2"/>
    <w:rsid w:val="009F3D7B"/>
    <w:rsid w:val="00A11FED"/>
    <w:rsid w:val="00A34B9E"/>
    <w:rsid w:val="00A41605"/>
    <w:rsid w:val="00A63FE8"/>
    <w:rsid w:val="00A70052"/>
    <w:rsid w:val="00A90487"/>
    <w:rsid w:val="00A942BE"/>
    <w:rsid w:val="00AA0505"/>
    <w:rsid w:val="00AA5BA1"/>
    <w:rsid w:val="00AE4013"/>
    <w:rsid w:val="00B100FB"/>
    <w:rsid w:val="00B11440"/>
    <w:rsid w:val="00B1545A"/>
    <w:rsid w:val="00B56894"/>
    <w:rsid w:val="00B67ABF"/>
    <w:rsid w:val="00B750D9"/>
    <w:rsid w:val="00B81B1E"/>
    <w:rsid w:val="00BA138A"/>
    <w:rsid w:val="00BC6763"/>
    <w:rsid w:val="00BF0410"/>
    <w:rsid w:val="00BF5FFD"/>
    <w:rsid w:val="00C32EBD"/>
    <w:rsid w:val="00C431DC"/>
    <w:rsid w:val="00C46587"/>
    <w:rsid w:val="00C555BC"/>
    <w:rsid w:val="00C56133"/>
    <w:rsid w:val="00C60E8D"/>
    <w:rsid w:val="00CA1651"/>
    <w:rsid w:val="00CA417A"/>
    <w:rsid w:val="00CC1D2E"/>
    <w:rsid w:val="00CF4F71"/>
    <w:rsid w:val="00CF61DE"/>
    <w:rsid w:val="00D0733B"/>
    <w:rsid w:val="00D75D26"/>
    <w:rsid w:val="00D85312"/>
    <w:rsid w:val="00D8669E"/>
    <w:rsid w:val="00D86BFF"/>
    <w:rsid w:val="00DB6035"/>
    <w:rsid w:val="00DE02B4"/>
    <w:rsid w:val="00DE1CF3"/>
    <w:rsid w:val="00DE4B07"/>
    <w:rsid w:val="00DF254C"/>
    <w:rsid w:val="00E16171"/>
    <w:rsid w:val="00E2063F"/>
    <w:rsid w:val="00E25E2C"/>
    <w:rsid w:val="00E36725"/>
    <w:rsid w:val="00E70E52"/>
    <w:rsid w:val="00EA1FA1"/>
    <w:rsid w:val="00F04C1A"/>
    <w:rsid w:val="00F1338F"/>
    <w:rsid w:val="00F57645"/>
    <w:rsid w:val="00F64F92"/>
    <w:rsid w:val="00F6699C"/>
    <w:rsid w:val="00F81CA2"/>
    <w:rsid w:val="00F828D2"/>
    <w:rsid w:val="00FB137C"/>
    <w:rsid w:val="00FB2B21"/>
    <w:rsid w:val="00FB62C9"/>
    <w:rsid w:val="08CD4F09"/>
    <w:rsid w:val="2F304F51"/>
    <w:rsid w:val="356F69E6"/>
    <w:rsid w:val="67655296"/>
    <w:rsid w:val="70AA04E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qFormat/>
    <w:uiPriority w:val="0"/>
    <w:pPr>
      <w:keepNext/>
      <w:keepLines/>
      <w:spacing w:before="120" w:after="120" w:line="360" w:lineRule="auto"/>
      <w:outlineLvl w:val="1"/>
    </w:pPr>
    <w:rPr>
      <w:rFonts w:ascii="Arial" w:hAnsi="Arial" w:eastAsia="黑体"/>
      <w:b/>
      <w:bCs/>
      <w:kern w:val="0"/>
      <w:sz w:val="32"/>
      <w:szCs w:val="32"/>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4">
    <w:name w:val="Plain Text"/>
    <w:basedOn w:val="1"/>
    <w:link w:val="19"/>
    <w:qFormat/>
    <w:uiPriority w:val="0"/>
    <w:rPr>
      <w:rFonts w:ascii="宋体" w:hAnsi="Courier New" w:cs="Courier New"/>
      <w:szCs w:val="21"/>
    </w:rPr>
  </w:style>
  <w:style w:type="paragraph" w:styleId="5">
    <w:name w:val="Body Text Indent 2"/>
    <w:basedOn w:val="1"/>
    <w:link w:val="15"/>
    <w:uiPriority w:val="0"/>
    <w:pPr>
      <w:spacing w:line="340" w:lineRule="exact"/>
      <w:ind w:firstLine="471" w:firstLineChars="200"/>
    </w:pPr>
    <w:rPr>
      <w:rFonts w:ascii="Times New Roman" w:hAnsi="Times New Roman"/>
      <w:sz w:val="24"/>
      <w:szCs w:val="24"/>
    </w:rPr>
  </w:style>
  <w:style w:type="paragraph" w:styleId="6">
    <w:name w:val="footer"/>
    <w:basedOn w:val="1"/>
    <w:link w:val="14"/>
    <w:unhideWhenUsed/>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2 Char"/>
    <w:basedOn w:val="8"/>
    <w:link w:val="3"/>
    <w:uiPriority w:val="0"/>
    <w:rPr>
      <w:rFonts w:ascii="Arial" w:hAnsi="Arial" w:eastAsia="黑体" w:cs="Times New Roman"/>
      <w:b/>
      <w:bCs/>
      <w:kern w:val="0"/>
      <w:sz w:val="32"/>
      <w:szCs w:val="32"/>
    </w:rPr>
  </w:style>
  <w:style w:type="paragraph" w:customStyle="1" w:styleId="12">
    <w:name w:val="列出段落1"/>
    <w:basedOn w:val="1"/>
    <w:uiPriority w:val="0"/>
    <w:pPr>
      <w:ind w:firstLine="420" w:firstLineChars="200"/>
    </w:pPr>
  </w:style>
  <w:style w:type="character" w:customStyle="1" w:styleId="13">
    <w:name w:val="页眉 Char"/>
    <w:basedOn w:val="8"/>
    <w:link w:val="7"/>
    <w:uiPriority w:val="99"/>
    <w:rPr>
      <w:rFonts w:ascii="Calibri" w:hAnsi="Calibri" w:eastAsia="宋体" w:cs="Times New Roman"/>
      <w:sz w:val="18"/>
      <w:szCs w:val="18"/>
    </w:rPr>
  </w:style>
  <w:style w:type="character" w:customStyle="1" w:styleId="14">
    <w:name w:val="页脚 Char"/>
    <w:basedOn w:val="8"/>
    <w:link w:val="6"/>
    <w:uiPriority w:val="99"/>
    <w:rPr>
      <w:rFonts w:ascii="Calibri" w:hAnsi="Calibri" w:eastAsia="宋体" w:cs="Times New Roman"/>
      <w:sz w:val="18"/>
      <w:szCs w:val="18"/>
    </w:rPr>
  </w:style>
  <w:style w:type="character" w:customStyle="1" w:styleId="15">
    <w:name w:val="正文文本缩进 2 Char"/>
    <w:basedOn w:val="8"/>
    <w:link w:val="5"/>
    <w:uiPriority w:val="0"/>
    <w:rPr>
      <w:rFonts w:ascii="Times New Roman" w:hAnsi="Times New Roman" w:eastAsia="宋体" w:cs="Times New Roman"/>
      <w:sz w:val="24"/>
      <w:szCs w:val="24"/>
    </w:rPr>
  </w:style>
  <w:style w:type="paragraph" w:customStyle="1" w:styleId="16">
    <w:name w:val="List Paragraph"/>
    <w:basedOn w:val="1"/>
    <w:qFormat/>
    <w:uiPriority w:val="34"/>
    <w:pPr>
      <w:ind w:firstLine="420" w:firstLineChars="200"/>
    </w:pPr>
  </w:style>
  <w:style w:type="character" w:customStyle="1" w:styleId="17">
    <w:name w:val="标题 1 Char"/>
    <w:basedOn w:val="8"/>
    <w:link w:val="2"/>
    <w:uiPriority w:val="9"/>
    <w:rPr>
      <w:rFonts w:ascii="Calibri" w:hAnsi="Calibri" w:eastAsia="宋体" w:cs="Times New Roman"/>
      <w:b/>
      <w:bCs/>
      <w:kern w:val="44"/>
      <w:sz w:val="44"/>
      <w:szCs w:val="44"/>
    </w:rPr>
  </w:style>
  <w:style w:type="character" w:customStyle="1" w:styleId="18">
    <w:name w:val="apple-converted-space"/>
    <w:basedOn w:val="8"/>
    <w:uiPriority w:val="0"/>
  </w:style>
  <w:style w:type="character" w:customStyle="1" w:styleId="19">
    <w:name w:val="纯文本 Char"/>
    <w:basedOn w:val="8"/>
    <w:link w:val="4"/>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1DA1A-BFEF-46B9-AB66-4ACB9354D348}">
  <ds:schemaRefs/>
</ds:datastoreItem>
</file>

<file path=docProps/app.xml><?xml version="1.0" encoding="utf-8"?>
<Properties xmlns="http://schemas.openxmlformats.org/officeDocument/2006/extended-properties" xmlns:vt="http://schemas.openxmlformats.org/officeDocument/2006/docPropsVTypes">
  <Template>Normal</Template>
  <Pages>5</Pages>
  <Words>508</Words>
  <Characters>2897</Characters>
  <Lines>24</Lines>
  <Paragraphs>6</Paragraphs>
  <ScaleCrop>false</ScaleCrop>
  <LinksUpToDate>false</LinksUpToDate>
  <CharactersWithSpaces>3399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2016-10-23T07:26:00Z</dcterms:created>
  <dc:creator>vip</dc:creator>
  <cp:lastModifiedBy>wujianing</cp:lastModifiedBy>
  <dcterms:modified xsi:type="dcterms:W3CDTF">2016-10-24T06:11:07Z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